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Fagersta kommunfullmäktige</w:t>
      </w:r>
    </w:p>
    <w:p>
      <w:pPr>
        <w:pStyle w:val="Heading1"/>
      </w:pPr>
      <w:r>
        <w:t xml:space="preserve">Installera trygghetskameror i Fagersta centrum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Fagersta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Brottsligheten i Fagersta centrum är högre än länsgenomsnittet (Brå 2023). Trygghetskameror har visat effekt i liknande kommuner och ökar tryggheten.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Fagersta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installera trygghetskameror på prioriterade platser i centrum.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upprätta riktlinjer för kamerabevakning enligt dataskyddslagstiftningen.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utvärdera effekten efter 18 månader.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samverka med polis och näringsidkare kring placering.</w:t>
      </w:r>
    </w:p>
    <w:p>
      <w:pPr>
        <w:spacing w:before="360"/>
      </w:pPr>
    </w:p>
    <w:p>
      <w:r>
        <w:t xml:space="preserve">Fagersta,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Fagersta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2026-07-14T02:51:08.008Z</dcterms:created>
  <dcterms:modified xsi:type="dcterms:W3CDTF">2026-07-14T02:51:08.008Z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